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44A" w:rsidRDefault="00AE644A" w:rsidP="00AE644A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sz w:val="20"/>
          <w:szCs w:val="20"/>
        </w:rPr>
      </w:pPr>
      <w:r>
        <w:rPr>
          <w:rFonts w:ascii="Verdana-Bold" w:hAnsi="Verdana-Bold" w:cs="Verdana-Bold"/>
          <w:b/>
          <w:bCs/>
          <w:sz w:val="20"/>
          <w:szCs w:val="20"/>
        </w:rPr>
        <w:t xml:space="preserve">Kanálový </w:t>
      </w:r>
      <w:proofErr w:type="spellStart"/>
      <w:r>
        <w:rPr>
          <w:rFonts w:ascii="Verdana-Bold" w:hAnsi="Verdana-Bold" w:cs="Verdana-Bold"/>
          <w:b/>
          <w:bCs/>
          <w:sz w:val="20"/>
          <w:szCs w:val="20"/>
        </w:rPr>
        <w:t>Aux</w:t>
      </w:r>
      <w:proofErr w:type="spellEnd"/>
      <w:r>
        <w:rPr>
          <w:rFonts w:ascii="Verdana-Bold" w:hAnsi="Verdana-Bold" w:cs="Verdana-Bold"/>
          <w:b/>
          <w:bCs/>
          <w:sz w:val="20"/>
          <w:szCs w:val="20"/>
        </w:rPr>
        <w:t xml:space="preserve"> </w:t>
      </w:r>
      <w:proofErr w:type="spellStart"/>
      <w:r>
        <w:rPr>
          <w:rFonts w:ascii="Verdana-Bold" w:hAnsi="Verdana-Bold" w:cs="Verdana-Bold"/>
          <w:b/>
          <w:bCs/>
          <w:sz w:val="20"/>
          <w:szCs w:val="20"/>
        </w:rPr>
        <w:t>pre</w:t>
      </w:r>
      <w:proofErr w:type="spellEnd"/>
      <w:r>
        <w:rPr>
          <w:rFonts w:ascii="Verdana-Bold" w:hAnsi="Verdana-Bold" w:cs="Verdana-Bold"/>
          <w:b/>
          <w:bCs/>
          <w:sz w:val="20"/>
          <w:szCs w:val="20"/>
        </w:rPr>
        <w:t>/post</w:t>
      </w:r>
    </w:p>
    <w:p w:rsidR="00AE644A" w:rsidRDefault="00AE644A" w:rsidP="00AE644A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Ve výchozím nastavení je </w:t>
      </w:r>
      <w:proofErr w:type="spellStart"/>
      <w:r>
        <w:rPr>
          <w:rFonts w:ascii="Verdana" w:hAnsi="Verdana" w:cs="Verdana"/>
          <w:sz w:val="20"/>
          <w:szCs w:val="20"/>
        </w:rPr>
        <w:t>Aux</w:t>
      </w:r>
      <w:proofErr w:type="spellEnd"/>
      <w:r>
        <w:rPr>
          <w:rFonts w:ascii="Verdana" w:hAnsi="Verdana" w:cs="Verdana"/>
          <w:sz w:val="20"/>
          <w:szCs w:val="20"/>
        </w:rPr>
        <w:t xml:space="preserve"> 1-2 </w:t>
      </w:r>
      <w:proofErr w:type="spellStart"/>
      <w:r>
        <w:rPr>
          <w:rFonts w:ascii="Verdana" w:hAnsi="Verdana" w:cs="Verdana"/>
          <w:sz w:val="20"/>
          <w:szCs w:val="20"/>
        </w:rPr>
        <w:t>pre</w:t>
      </w:r>
      <w:proofErr w:type="spellEnd"/>
      <w:r>
        <w:rPr>
          <w:rFonts w:ascii="Verdana" w:hAnsi="Verdana" w:cs="Verdana"/>
          <w:sz w:val="20"/>
          <w:szCs w:val="20"/>
        </w:rPr>
        <w:t>-</w:t>
      </w:r>
      <w:proofErr w:type="spellStart"/>
      <w:r>
        <w:rPr>
          <w:rFonts w:ascii="Verdana" w:hAnsi="Verdana" w:cs="Verdana"/>
          <w:sz w:val="20"/>
          <w:szCs w:val="20"/>
        </w:rPr>
        <w:t>fade</w:t>
      </w:r>
      <w:proofErr w:type="spellEnd"/>
      <w:r>
        <w:rPr>
          <w:rFonts w:ascii="Verdana" w:hAnsi="Verdana" w:cs="Verdana"/>
          <w:sz w:val="20"/>
          <w:szCs w:val="20"/>
        </w:rPr>
        <w:t xml:space="preserve">, </w:t>
      </w:r>
      <w:proofErr w:type="spellStart"/>
      <w:r>
        <w:rPr>
          <w:rFonts w:ascii="Verdana" w:hAnsi="Verdana" w:cs="Verdana"/>
          <w:sz w:val="20"/>
          <w:szCs w:val="20"/>
        </w:rPr>
        <w:t>Aux</w:t>
      </w:r>
      <w:proofErr w:type="spellEnd"/>
    </w:p>
    <w:p w:rsidR="00AE644A" w:rsidRDefault="00AE644A" w:rsidP="00AE644A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3-4 přepínatelný a </w:t>
      </w:r>
      <w:proofErr w:type="spellStart"/>
      <w:r>
        <w:rPr>
          <w:rFonts w:ascii="Verdana" w:hAnsi="Verdana" w:cs="Verdana"/>
          <w:sz w:val="20"/>
          <w:szCs w:val="20"/>
        </w:rPr>
        <w:t>Aux</w:t>
      </w:r>
      <w:proofErr w:type="spellEnd"/>
      <w:r>
        <w:rPr>
          <w:rFonts w:ascii="Verdana" w:hAnsi="Verdana" w:cs="Verdana"/>
          <w:sz w:val="20"/>
          <w:szCs w:val="20"/>
        </w:rPr>
        <w:t xml:space="preserve"> 5-6 post-</w:t>
      </w:r>
      <w:proofErr w:type="spellStart"/>
      <w:r>
        <w:rPr>
          <w:rFonts w:ascii="Verdana" w:hAnsi="Verdana" w:cs="Verdana"/>
          <w:sz w:val="20"/>
          <w:szCs w:val="20"/>
        </w:rPr>
        <w:t>fade</w:t>
      </w:r>
      <w:proofErr w:type="spellEnd"/>
      <w:r>
        <w:rPr>
          <w:rFonts w:ascii="Verdana" w:hAnsi="Verdana" w:cs="Verdana"/>
          <w:sz w:val="20"/>
          <w:szCs w:val="20"/>
        </w:rPr>
        <w:t>. Toto</w:t>
      </w:r>
    </w:p>
    <w:p w:rsidR="00AE644A" w:rsidRDefault="00AE644A" w:rsidP="00AE644A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nastavení může být změněno na různé</w:t>
      </w:r>
    </w:p>
    <w:p w:rsidR="00AE644A" w:rsidRDefault="00AE644A" w:rsidP="00AE644A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kombinace </w:t>
      </w:r>
      <w:proofErr w:type="spellStart"/>
      <w:r>
        <w:rPr>
          <w:rFonts w:ascii="Verdana" w:hAnsi="Verdana" w:cs="Verdana"/>
          <w:sz w:val="20"/>
          <w:szCs w:val="20"/>
        </w:rPr>
        <w:t>pre</w:t>
      </w:r>
      <w:proofErr w:type="spellEnd"/>
      <w:r>
        <w:rPr>
          <w:rFonts w:ascii="Verdana" w:hAnsi="Verdana" w:cs="Verdana"/>
          <w:sz w:val="20"/>
          <w:szCs w:val="20"/>
        </w:rPr>
        <w:t xml:space="preserve">/post přemístěním </w:t>
      </w:r>
      <w:proofErr w:type="spellStart"/>
      <w:r>
        <w:rPr>
          <w:rFonts w:ascii="Verdana" w:hAnsi="Verdana" w:cs="Verdana"/>
          <w:sz w:val="20"/>
          <w:szCs w:val="20"/>
        </w:rPr>
        <w:t>jumperů</w:t>
      </w:r>
      <w:proofErr w:type="spellEnd"/>
      <w:r>
        <w:rPr>
          <w:rFonts w:ascii="Verdana" w:hAnsi="Verdana" w:cs="Verdana"/>
          <w:sz w:val="20"/>
          <w:szCs w:val="20"/>
        </w:rPr>
        <w:t>.</w:t>
      </w:r>
    </w:p>
    <w:p w:rsidR="00AE644A" w:rsidRDefault="00AE644A" w:rsidP="00AE644A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Shlédněte</w:t>
      </w:r>
      <w:proofErr w:type="gramEnd"/>
      <w:r>
        <w:rPr>
          <w:rFonts w:ascii="Verdana" w:hAnsi="Verdana" w:cs="Verdana"/>
          <w:sz w:val="20"/>
          <w:szCs w:val="20"/>
        </w:rPr>
        <w:t xml:space="preserve"> blokový diagram systému a objevte</w:t>
      </w:r>
    </w:p>
    <w:p w:rsidR="00AE644A" w:rsidRDefault="00AE644A" w:rsidP="00AE644A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dostupné možnosti. Ujistěte se, že všechny</w:t>
      </w:r>
    </w:p>
    <w:p w:rsidR="00AE644A" w:rsidRDefault="00AE644A" w:rsidP="00AE644A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stereo i mono kanály jsou nastaveny stejně.</w:t>
      </w:r>
    </w:p>
    <w:p w:rsidR="008F685D" w:rsidRDefault="00AE644A" w:rsidP="00AE644A">
      <w:pPr>
        <w:rPr>
          <w:rFonts w:ascii="Verdana-Bold" w:hAnsi="Verdana-Bold" w:cs="Verdana-Bold"/>
          <w:b/>
          <w:bCs/>
          <w:sz w:val="20"/>
          <w:szCs w:val="20"/>
        </w:rPr>
      </w:pPr>
      <w:r>
        <w:rPr>
          <w:rFonts w:ascii="Verdana-Bold" w:hAnsi="Verdana-Bold" w:cs="Verdana-Bold"/>
          <w:b/>
          <w:bCs/>
          <w:sz w:val="20"/>
          <w:szCs w:val="20"/>
        </w:rPr>
        <w:t>Zdroj</w:t>
      </w:r>
    </w:p>
    <w:p w:rsidR="00AE644A" w:rsidRDefault="00AE644A" w:rsidP="00AE644A">
      <w:r>
        <w:rPr>
          <w:noProof/>
          <w:lang w:eastAsia="cs-CZ"/>
        </w:rPr>
        <w:drawing>
          <wp:inline distT="0" distB="0" distL="0" distR="0">
            <wp:extent cx="3003550" cy="1085850"/>
            <wp:effectExtent l="1905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644A" w:rsidSect="008F68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AE644A"/>
    <w:rsid w:val="008F685D"/>
    <w:rsid w:val="00AE64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685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64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64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280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Petr</cp:lastModifiedBy>
  <cp:revision>1</cp:revision>
  <dcterms:created xsi:type="dcterms:W3CDTF">2013-01-22T12:54:00Z</dcterms:created>
  <dcterms:modified xsi:type="dcterms:W3CDTF">2013-01-22T12:56:00Z</dcterms:modified>
</cp:coreProperties>
</file>